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7"/>
    <w:p>
      <w:pPr>
        <w:pStyle w:val="Heading1"/>
      </w:pPr>
      <w:r>
        <w:t xml:space="preserve">Homiletics Analysis: Exodus 27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27 comprises three distinct but architecturally unified sections governing the construction of Israel’s tabernacle complex. The first section (vv. 1–8) specifies the bronze altar — the great sacrificial altar to stand at the entrance of the tabernacle courtyard, built of acacia wood overlaid with bronze, fitted with horns at its four corners, rings and poles for transport, and all its utensils made of bronze. The second section (vv. 9–19) details the courtyard enclosure itself — a rectangular perimeter of fine linen hangings suspended on bronze-socketed posts, with the entrance on the east side marked by an embroidered screen, forming a defined sacred precinct around the tabernacle. The third section (vv. 20–21) transitions to the lamp ordinance — Israel’s perpetual obligation to provide pure beaten olive oil so that the lamp burns continually before the LORD from evening to morning, tended by Aaron and his sons as a statute forever throughout their generations.</w:t>
      </w:r>
    </w:p>
    <w:p>
      <w:pPr>
        <w:pStyle w:val="BodyText"/>
      </w:pPr>
      <w:r>
        <w:t xml:space="preserve">The chapter thus moves from the outermost structure inward: the altar at the threshold, the court enclosing the holy space, and the perpetual lamp burning inside. The architecture is theological — every dimension and material specification is carrying meaning about access to God, the cost of that access, and the sustained presence of light before Him.</w:t>
      </w:r>
    </w:p>
    <w:p>
      <w:pPr>
        <w:pStyle w:val="BodyText"/>
      </w:pPr>
      <w:r>
        <w:rPr>
          <w:b/>
          <w:bCs/>
        </w:rPr>
        <w:t xml:space="preserve">This Text — Intent:</w:t>
      </w:r>
    </w:p>
    <w:p>
      <w:pPr>
        <w:pStyle w:val="BodyText"/>
      </w:pPr>
      <w:r>
        <w:t xml:space="preserve">God is pressing upon Israel — and upon every reader — the weight and glory of what it means to approach Him: approach is possible, but only through blood; the holy space is bounded and distinct from all surrounding space; and the light before Him must never go out. The intent is not merely liturgical instruction but formation — God is shaping His people’s imagination about His holiness, the seriousness of sin, the necessity of atonement, and the sustained devotion that covenant life with Him requires. He is teaching them, through physical specification and material labor, that nearness to Him is not casual, not self-designed, and not self-sustaining — it is costly, ordered, and perpetual.</w:t>
      </w:r>
    </w:p>
    <w:p>
      <w:r>
        <w:pict>
          <v:rect style="width:0;height:1.5pt" o:hralign="center" o:hrstd="t" o:hr="t"/>
        </w:pict>
      </w:r>
    </w:p>
    <w:p>
      <w:pPr>
        <w:pStyle w:val="FirstParagraph"/>
      </w:pPr>
      <w:r>
        <w:rPr>
          <w:b/>
          <w:bCs/>
        </w:rPr>
        <w:t xml:space="preserve">Subject Sentence:</w:t>
      </w:r>
      <w:r>
        <w:t xml:space="preserve"> </w:t>
      </w:r>
      <w:r>
        <w:t xml:space="preserve">God orders Israel’s approach to Him — through sacrifice, bounded space, and perpetual light.</w:t>
      </w:r>
    </w:p>
    <w:p>
      <w:r>
        <w:pict>
          <v:rect style="width:0;height:1.5pt" o:hralign="center" o:hrstd="t" o:hr="t"/>
        </w:pict>
      </w:r>
    </w:p>
    <w:p>
      <w:pPr>
        <w:pStyle w:val="FirstParagraph"/>
      </w:pPr>
      <w:r>
        <w:rPr>
          <w:b/>
          <w:bCs/>
        </w:rPr>
        <w:t xml:space="preserve">Primary Claim:</w:t>
      </w:r>
      <w:r>
        <w:t xml:space="preserve"> </w:t>
      </w:r>
      <w:r>
        <w:t xml:space="preserve">God is teaching His people that covenant access to His presence is real but not casual — it is defined by blood at the threshold, bounded by holy separation, and sustained by perpetual, never-ceasing devotion.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Specification and Theology:</w:t>
      </w:r>
      <w:r>
        <w:t xml:space="preserve"> </w:t>
      </w:r>
      <w:r>
        <w:t xml:space="preserve">The primary interpretive question in a chapter like Exodus 27 is whether the architectural detail is primarily practical/historical (instructions for a specific historical structure) or primarily theological (a divinely ordered symbol-system). A purely historical-critical reading treats the chapter as ancient cultic legislation of antiquarian interest. This reading is inadequate — not because the historical particulars don’t matter, but because the text itself embeds theological meaning in the specifications. The bronze altar’s horns, the purity requirements, the perpetual lamp — none of these are incidental. The Reformed reading holds that God is communicating through the architecture itself, and that this is not allegory imported onto the text but the text’s own communicative intention.</w:t>
      </w:r>
    </w:p>
    <w:p>
      <w:pPr>
        <w:pStyle w:val="BodyText"/>
      </w:pPr>
      <w:r>
        <w:rPr>
          <w:b/>
          <w:bCs/>
        </w:rPr>
        <w:t xml:space="preserve">Typological Reading — Acknowledge and Qualify:</w:t>
      </w:r>
      <w:r>
        <w:t xml:space="preserve"> </w:t>
      </w:r>
      <w:r>
        <w:t xml:space="preserve">Evangelical and Reformed interpreters rightly identify the bronze altar as a type of the cross — the place where blood is shed, where atonement is made, where the sinner’s approach to God is only possible through substitutionary sacrifice. Hebrews 9–10 grounds this typological reading canonically. The qualification is that the typological connection should be drawn carefully rather than mechanically. The point is not that every measurement of the altar corresponds to a feature of the crucifixion, but that the entire sacrificial system at the altar points forward to the one final sacrifice that makes all subsequent sacrifice unnecessary. The type’s function is directional and preparatory, not encyclopedic.</w:t>
      </w:r>
    </w:p>
    <w:p>
      <w:pPr>
        <w:pStyle w:val="BodyText"/>
      </w:pPr>
      <w:r>
        <w:rPr>
          <w:b/>
          <w:bCs/>
        </w:rPr>
        <w:t xml:space="preserve">Allegorical Over-reading — Refute:</w:t>
      </w:r>
      <w:r>
        <w:t xml:space="preserve"> </w:t>
      </w:r>
      <w:r>
        <w:t xml:space="preserve">Some patristic and medieval interpreters pressed the dimensions and materials of Exodus 27 into elaborate allegorical schemes where every cubit and every material corresponds to a spiritual truth in a one-to-one fashion. This reading cannot be sustained. The text is not structured as an allegory; the connections become arbitrary and cannot be controlled by the text itself. The Reformed reading insists that the type/antitype relationship is real and important, but that it is controlled by the canonical storyline — not by a reader’s ingenuity in finding spiritual correspondences.</w:t>
      </w:r>
    </w:p>
    <w:p>
      <w:pPr>
        <w:pStyle w:val="BodyText"/>
      </w:pPr>
      <w:r>
        <w:rPr>
          <w:b/>
          <w:bCs/>
        </w:rPr>
        <w:t xml:space="preserve">The Lamp Ordinance (vv. 20–21) — Pentecostal/Charismatic Misreading:</w:t>
      </w:r>
      <w:r>
        <w:t xml:space="preserve"> </w:t>
      </w:r>
      <w:r>
        <w:t xml:space="preserve">The perpetual lamp is occasionally read as a proof-text for continuous, experiential encounter with the Spirit — the flame as a metaphor for unceasing spiritual intensity. This misreads the passage’s own context. The lamp is a covenant obligation of priestly maintenance, not a description of emotional or experiential intensity. Its perpetuity is the point: covenant fidelity requires sustained, ordered, unglamorous faithfulness — not perpetual spiritual high. The Reformed reading honors the text’s own emphasis: it is a statute, a perpetual obligation, governed by a specific material (pure beaten olive oil), tended by specific people (Aaron and his sons), at a specific time (evening to morning).</w:t>
      </w:r>
    </w:p>
    <w:p>
      <w:pPr>
        <w:pStyle w:val="BodyText"/>
      </w:pPr>
      <w:r>
        <w:rPr>
          <w:b/>
          <w:bCs/>
        </w:rPr>
        <w:t xml:space="preserve">The Reformed Verdict:</w:t>
      </w:r>
      <w:r>
        <w:t xml:space="preserve"> </w:t>
      </w:r>
      <w:r>
        <w:t xml:space="preserve">Exodus 27 is neither mere antiquarianism nor a free-form allegorical playground. It is a divinely ordered architectural theology — God specifying through physical form what covenant access to His presence requires: atoning sacrifice, bounded holiness, and perpetual devotion. This reading accounts for the chapter’s place in the Mosaic covenant while honoring its forward-pointing typological function (Hebrews 9–10) and its formational intent for the people of God in every generation.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Hebrews 9:1–14</w:t>
      </w:r>
      <w:r>
        <w:t xml:space="preserve"> </w:t>
      </w:r>
      <w:r>
        <w:t xml:space="preserve">— The entire tabernacle and its furnishings, including the altar and lampstand, are explicitly identified as a copy and shadow of heavenly realities; the blood of the sacrificial system points forward to the once-for-all sacrifice of Christ; provides the canonical key for reading Exodus 27’s typological function.</w:t>
      </w:r>
    </w:p>
    <w:p>
      <w:pPr>
        <w:numPr>
          <w:ilvl w:val="0"/>
          <w:numId w:val="1001"/>
        </w:numPr>
      </w:pPr>
      <w:r>
        <w:rPr>
          <w:b/>
          <w:bCs/>
        </w:rPr>
        <w:t xml:space="preserve">Leviticus 1:1–9</w:t>
      </w:r>
      <w:r>
        <w:t xml:space="preserve"> </w:t>
      </w:r>
      <w:r>
        <w:t xml:space="preserve">— The detailed regulations for burnt offerings at the bronze altar flesh out the significance of what is offered there; the atonement function of the altar is made explicit, grounding the theological weight of Exodus 27’s construction specifications.</w:t>
      </w:r>
    </w:p>
    <w:p>
      <w:pPr>
        <w:numPr>
          <w:ilvl w:val="0"/>
          <w:numId w:val="1001"/>
        </w:numPr>
      </w:pPr>
      <w:r>
        <w:rPr>
          <w:b/>
          <w:bCs/>
        </w:rPr>
        <w:t xml:space="preserve">John 8:12</w:t>
      </w:r>
      <w:r>
        <w:t xml:space="preserve"> </w:t>
      </w:r>
      <w:r>
        <w:t xml:space="preserve">— Jesus’ declaration</w:t>
      </w:r>
      <w:r>
        <w:t xml:space="preserve"> </w:t>
      </w:r>
      <w:r>
        <w:t xml:space="preserve">“I am the light of the world”</w:t>
      </w:r>
      <w:r>
        <w:t xml:space="preserve"> </w:t>
      </w:r>
      <w:r>
        <w:t xml:space="preserve">stands as the fulfillment of the perpetual lamp ordinance; the lamp that must never go out in the tabernacle finds its ultimate referent in the One who is himself the inexhaustible light before the Father.</w:t>
      </w:r>
    </w:p>
    <w:p>
      <w:pPr>
        <w:numPr>
          <w:ilvl w:val="0"/>
          <w:numId w:val="1001"/>
        </w:numPr>
      </w:pPr>
      <w:r>
        <w:rPr>
          <w:b/>
          <w:bCs/>
        </w:rPr>
        <w:t xml:space="preserve">Hebrews 10:19–22</w:t>
      </w:r>
      <w:r>
        <w:t xml:space="preserve"> </w:t>
      </w:r>
      <w:r>
        <w:t xml:space="preserve">— The veil and the court give way in Christ; the bounded, mediated access of the tabernacle complex is now fulfilled in the direct access believers have through the blood of Jesus — the theological architecture of Exodus 27 reaches its telos here.</w:t>
      </w:r>
    </w:p>
    <w:p>
      <w:pPr>
        <w:numPr>
          <w:ilvl w:val="0"/>
          <w:numId w:val="1001"/>
        </w:numPr>
      </w:pPr>
      <w:r>
        <w:rPr>
          <w:b/>
          <w:bCs/>
        </w:rPr>
        <w:t xml:space="preserve">Revelation 21:22–23</w:t>
      </w:r>
      <w:r>
        <w:t xml:space="preserve"> </w:t>
      </w:r>
      <w:r>
        <w:t xml:space="preserve">— In the new creation there is no temple and no lamp, because the LORD God and the Lamb are its temple and its light; the perpetual lamp of Exodus 27:20–21 is absorbed into the uncreated light of the eschaton — the shadow gives way to the substance.</w:t>
      </w:r>
    </w:p>
    <w:p>
      <w:r>
        <w:pict>
          <v:rect style="width:0;height:1.5pt" o:hralign="center" o:hrstd="t" o:hr="t"/>
        </w:pict>
      </w:r>
    </w:p>
    <w:p>
      <w:pPr>
        <w:pStyle w:val="FirstParagraph"/>
      </w:pPr>
      <w:r>
        <w:rPr>
          <w:b/>
          <w:bCs/>
        </w:rPr>
        <w:t xml:space="preserve">Aim:</w:t>
      </w:r>
      <w:r>
        <w:t xml:space="preserve"> </w:t>
      </w:r>
      <w:r>
        <w:t xml:space="preserve">To show that the detailed architectural specifications of Exodus 27 are not administrative minutiae but a divinely ordered theology of access — calling the reader to recognize that approach to God has always been costly, defined, and sustained by divine provision rather than human design.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27:1</w:t>
            </w:r>
          </w:p>
        </w:tc>
        <w:tc>
          <w:tcPr/>
          <w:p>
            <w:pPr>
              <w:pStyle w:val="Compact"/>
            </w:pPr>
            <w:r>
              <w:t xml:space="preserve">The altar: acacia wood, five cubits square, three cubits high</w:t>
            </w:r>
          </w:p>
        </w:tc>
        <w:tc>
          <w:tcPr/>
          <w:p>
            <w:pPr>
              <w:pStyle w:val="Compact"/>
            </w:pPr>
            <w:r>
              <w:t xml:space="preserve">Bronze altar; stationed at the tabernacle entrance; dimensions establish it as massive and prominent</w:t>
            </w:r>
          </w:p>
        </w:tc>
      </w:tr>
      <w:tr>
        <w:tc>
          <w:tcPr/>
          <w:p>
            <w:pPr>
              <w:pStyle w:val="Compact"/>
            </w:pPr>
            <w:r>
              <w:t xml:space="preserve">27:2</w:t>
            </w:r>
          </w:p>
        </w:tc>
        <w:tc>
          <w:tcPr/>
          <w:p>
            <w:pPr>
              <w:pStyle w:val="Compact"/>
            </w:pPr>
            <w:r>
              <w:t xml:space="preserve">Horns on the four corners, overlaid with bronze</w:t>
            </w:r>
          </w:p>
        </w:tc>
        <w:tc>
          <w:tcPr/>
          <w:p>
            <w:pPr>
              <w:pStyle w:val="Compact"/>
            </w:pPr>
            <w:r>
              <w:t xml:space="preserve">Horns = seat of the altar’s power; where the blood is applied (Lev 4); integral to the altar’s structure</w:t>
            </w:r>
          </w:p>
        </w:tc>
      </w:tr>
      <w:tr>
        <w:tc>
          <w:tcPr/>
          <w:p>
            <w:pPr>
              <w:pStyle w:val="Compact"/>
            </w:pPr>
            <w:r>
              <w:t xml:space="preserve">27:3</w:t>
            </w:r>
          </w:p>
        </w:tc>
        <w:tc>
          <w:tcPr/>
          <w:p>
            <w:pPr>
              <w:pStyle w:val="Compact"/>
            </w:pPr>
            <w:r>
              <w:t xml:space="preserve">All utensils (pots, shovels, basins, forks, firepans) made of bronze</w:t>
            </w:r>
          </w:p>
        </w:tc>
        <w:tc>
          <w:tcPr/>
          <w:p>
            <w:pPr>
              <w:pStyle w:val="Compact"/>
            </w:pPr>
            <w:r>
              <w:t xml:space="preserve">Complete functional outfit; every tool of the sacrificial work is bronze — no exception</w:t>
            </w:r>
          </w:p>
        </w:tc>
      </w:tr>
      <w:tr>
        <w:tc>
          <w:tcPr/>
          <w:p>
            <w:pPr>
              <w:pStyle w:val="Compact"/>
            </w:pPr>
            <w:r>
              <w:t xml:space="preserve">27:4–5</w:t>
            </w:r>
          </w:p>
        </w:tc>
        <w:tc>
          <w:tcPr/>
          <w:p>
            <w:pPr>
              <w:pStyle w:val="Compact"/>
            </w:pPr>
            <w:r>
              <w:t xml:space="preserve">A bronze grating network with four bronze rings at its corners; set under the ledge of the altar, halfway up</w:t>
            </w:r>
          </w:p>
        </w:tc>
        <w:tc>
          <w:tcPr/>
          <w:p>
            <w:pPr>
              <w:pStyle w:val="Compact"/>
            </w:pPr>
            <w:r>
              <w:t xml:space="preserve">The grating holds the offerings; structural precision governs even what is not visible</w:t>
            </w:r>
          </w:p>
        </w:tc>
      </w:tr>
      <w:tr>
        <w:tc>
          <w:tcPr/>
          <w:p>
            <w:pPr>
              <w:pStyle w:val="Compact"/>
            </w:pPr>
            <w:r>
              <w:t xml:space="preserve">27:6–7</w:t>
            </w:r>
          </w:p>
        </w:tc>
        <w:tc>
          <w:tcPr/>
          <w:p>
            <w:pPr>
              <w:pStyle w:val="Compact"/>
            </w:pPr>
            <w:r>
              <w:t xml:space="preserve">Acacia wood poles overlaid with bronze, inserted through rings on two sides</w:t>
            </w:r>
          </w:p>
        </w:tc>
        <w:tc>
          <w:tcPr/>
          <w:p>
            <w:pPr>
              <w:pStyle w:val="Compact"/>
            </w:pPr>
            <w:r>
              <w:t xml:space="preserve">Portability built in — the altar travels with the people; the place of sacrifice moves with the covenant community</w:t>
            </w:r>
          </w:p>
        </w:tc>
      </w:tr>
      <w:tr>
        <w:tc>
          <w:tcPr/>
          <w:p>
            <w:pPr>
              <w:pStyle w:val="Compact"/>
            </w:pPr>
            <w:r>
              <w:t xml:space="preserve">27:8</w:t>
            </w:r>
          </w:p>
        </w:tc>
        <w:tc>
          <w:tcPr/>
          <w:p>
            <w:pPr>
              <w:pStyle w:val="Compact"/>
            </w:pPr>
            <w:r>
              <w:t xml:space="preserve">The altar is hollow, made of boards, exactly as shown to Moses on the mountain</w:t>
            </w:r>
          </w:p>
        </w:tc>
        <w:tc>
          <w:tcPr/>
          <w:p>
            <w:pPr>
              <w:pStyle w:val="Compact"/>
            </w:pPr>
            <w:r>
              <w:t xml:space="preserve">Divine archetype governs every detail;</w:t>
            </w:r>
            <w:r>
              <w:t xml:space="preserve"> </w:t>
            </w:r>
            <w:r>
              <w:t xml:space="preserve">“as I showed you on the mountain”</w:t>
            </w:r>
            <w:r>
              <w:t xml:space="preserve"> </w:t>
            </w:r>
            <w:r>
              <w:t xml:space="preserve">— no human improvisation</w:t>
            </w:r>
          </w:p>
        </w:tc>
      </w:tr>
      <w:tr>
        <w:tc>
          <w:tcPr/>
          <w:p>
            <w:pPr>
              <w:pStyle w:val="Compact"/>
            </w:pPr>
            <w:r>
              <w:t xml:space="preserve">27:9–10</w:t>
            </w:r>
          </w:p>
        </w:tc>
        <w:tc>
          <w:tcPr/>
          <w:p>
            <w:pPr>
              <w:pStyle w:val="Compact"/>
            </w:pPr>
            <w:r>
              <w:t xml:space="preserve">South side of the court: 100 cubits of fine linen hangings on 20 posts with bronze sockets; hooks and bands of silver</w:t>
            </w:r>
          </w:p>
        </w:tc>
        <w:tc>
          <w:tcPr/>
          <w:p>
            <w:pPr>
              <w:pStyle w:val="Compact"/>
            </w:pPr>
            <w:r>
              <w:t xml:space="preserve">The courtyard perimeter begins; silver connects the posts — a visible distinction between the outer (bronze) and the boundary’s fittings</w:t>
            </w:r>
          </w:p>
        </w:tc>
      </w:tr>
      <w:tr>
        <w:tc>
          <w:tcPr/>
          <w:p>
            <w:pPr>
              <w:pStyle w:val="Compact"/>
            </w:pPr>
            <w:r>
              <w:t xml:space="preserve">27:11</w:t>
            </w:r>
          </w:p>
        </w:tc>
        <w:tc>
          <w:tcPr/>
          <w:p>
            <w:pPr>
              <w:pStyle w:val="Compact"/>
            </w:pPr>
            <w:r>
              <w:t xml:space="preserve">North side: identical to south — 100 cubits, 20 posts, bronze sockets, silver hooks and bands</w:t>
            </w:r>
          </w:p>
        </w:tc>
        <w:tc>
          <w:tcPr/>
          <w:p>
            <w:pPr>
              <w:pStyle w:val="Compact"/>
            </w:pPr>
            <w:r>
              <w:t xml:space="preserve">Symmetry and order; the holy space is carefully bounded on every side</w:t>
            </w:r>
          </w:p>
        </w:tc>
      </w:tr>
      <w:tr>
        <w:tc>
          <w:tcPr/>
          <w:p>
            <w:pPr>
              <w:pStyle w:val="Compact"/>
            </w:pPr>
            <w:r>
              <w:t xml:space="preserve">27:12–13</w:t>
            </w:r>
          </w:p>
        </w:tc>
        <w:tc>
          <w:tcPr/>
          <w:p>
            <w:pPr>
              <w:pStyle w:val="Compact"/>
            </w:pPr>
            <w:r>
              <w:t xml:space="preserve">West side: 50 cubits wide, 10 posts; east side (entrance side): also 50 cubits wide</w:t>
            </w:r>
          </w:p>
        </w:tc>
        <w:tc>
          <w:tcPr/>
          <w:p>
            <w:pPr>
              <w:pStyle w:val="Compact"/>
            </w:pPr>
            <w:r>
              <w:t xml:space="preserve">The courtyard is a defined rectangle; the entrance faces east — the direction from which Israel approaches</w:t>
            </w:r>
          </w:p>
        </w:tc>
      </w:tr>
      <w:tr>
        <w:tc>
          <w:tcPr/>
          <w:p>
            <w:pPr>
              <w:pStyle w:val="Compact"/>
            </w:pPr>
            <w:r>
              <w:t xml:space="preserve">27:14–15</w:t>
            </w:r>
          </w:p>
        </w:tc>
        <w:tc>
          <w:tcPr/>
          <w:p>
            <w:pPr>
              <w:pStyle w:val="Compact"/>
            </w:pPr>
            <w:r>
              <w:t xml:space="preserve">Flanking the gate: 15-cubit hangings on each side, 3 posts each</w:t>
            </w:r>
          </w:p>
        </w:tc>
        <w:tc>
          <w:tcPr/>
          <w:p>
            <w:pPr>
              <w:pStyle w:val="Compact"/>
            </w:pPr>
            <w:r>
              <w:t xml:space="preserve">The gate is structured, not open or vague; approach is channeled</w:t>
            </w:r>
          </w:p>
        </w:tc>
      </w:tr>
      <w:tr>
        <w:tc>
          <w:tcPr/>
          <w:p>
            <w:pPr>
              <w:pStyle w:val="Compact"/>
            </w:pPr>
            <w:r>
              <w:t xml:space="preserve">27:16</w:t>
            </w:r>
          </w:p>
        </w:tc>
        <w:tc>
          <w:tcPr/>
          <w:p>
            <w:pPr>
              <w:pStyle w:val="Compact"/>
            </w:pPr>
            <w:r>
              <w:t xml:space="preserve">The gate screen: 20 cubits of embroidered work in blue, purple, scarlet, and fine linen; 4 posts</w:t>
            </w:r>
          </w:p>
        </w:tc>
        <w:tc>
          <w:tcPr/>
          <w:p>
            <w:pPr>
              <w:pStyle w:val="Compact"/>
            </w:pPr>
            <w:r>
              <w:t xml:space="preserve">The entrance screen mirrors the tabernacle door (26:36) and the veil (26:31) — graduated holiness rendered in color and material</w:t>
            </w:r>
          </w:p>
        </w:tc>
      </w:tr>
      <w:tr>
        <w:tc>
          <w:tcPr/>
          <w:p>
            <w:pPr>
              <w:pStyle w:val="Compact"/>
            </w:pPr>
            <w:r>
              <w:t xml:space="preserve">27:17</w:t>
            </w:r>
          </w:p>
        </w:tc>
        <w:tc>
          <w:tcPr/>
          <w:p>
            <w:pPr>
              <w:pStyle w:val="Compact"/>
            </w:pPr>
            <w:r>
              <w:t xml:space="preserve">All posts of the courtyard: silver bands, silver hooks, bronze sockets</w:t>
            </w:r>
          </w:p>
        </w:tc>
        <w:tc>
          <w:tcPr/>
          <w:p>
            <w:pPr>
              <w:pStyle w:val="Compact"/>
            </w:pPr>
            <w:r>
              <w:t xml:space="preserve">Material consistency throughout the court; every post participates in the same ordered system</w:t>
            </w:r>
          </w:p>
        </w:tc>
      </w:tr>
      <w:tr>
        <w:tc>
          <w:tcPr/>
          <w:p>
            <w:pPr>
              <w:pStyle w:val="Compact"/>
            </w:pPr>
            <w:r>
              <w:t xml:space="preserve">27:18</w:t>
            </w:r>
          </w:p>
        </w:tc>
        <w:tc>
          <w:tcPr/>
          <w:p>
            <w:pPr>
              <w:pStyle w:val="Compact"/>
            </w:pPr>
            <w:r>
              <w:t xml:space="preserve">The court: 100 by 50 cubits, 5 cubits high, fine linen, bronze sockets</w:t>
            </w:r>
          </w:p>
        </w:tc>
        <w:tc>
          <w:tcPr/>
          <w:p>
            <w:pPr>
              <w:pStyle w:val="Compact"/>
            </w:pPr>
            <w:r>
              <w:t xml:space="preserve">The full dimensions established; the court is spacious but bounded — a world defined by the LORD’s instruction</w:t>
            </w:r>
          </w:p>
        </w:tc>
      </w:tr>
      <w:tr>
        <w:tc>
          <w:tcPr/>
          <w:p>
            <w:pPr>
              <w:pStyle w:val="Compact"/>
            </w:pPr>
            <w:r>
              <w:t xml:space="preserve">27:19</w:t>
            </w:r>
          </w:p>
        </w:tc>
        <w:tc>
          <w:tcPr/>
          <w:p>
            <w:pPr>
              <w:pStyle w:val="Compact"/>
            </w:pPr>
            <w:r>
              <w:t xml:space="preserve">All utensils and pegs of the tabernacle and court: bronze</w:t>
            </w:r>
          </w:p>
        </w:tc>
        <w:tc>
          <w:tcPr/>
          <w:p>
            <w:pPr>
              <w:pStyle w:val="Compact"/>
            </w:pPr>
            <w:r>
              <w:t xml:space="preserve">Even the tent pegs are specified; no element of the structure is spiritually neutral</w:t>
            </w:r>
          </w:p>
        </w:tc>
      </w:tr>
      <w:tr>
        <w:tc>
          <w:tcPr/>
          <w:p>
            <w:pPr>
              <w:pStyle w:val="Compact"/>
            </w:pPr>
            <w:r>
              <w:t xml:space="preserve">27:20</w:t>
            </w:r>
          </w:p>
        </w:tc>
        <w:tc>
          <w:tcPr/>
          <w:p>
            <w:pPr>
              <w:pStyle w:val="Compact"/>
            </w:pPr>
            <w:r>
              <w:t xml:space="preserve">Command for the people to bring pure beaten olive oil to keep the lamp burning continually</w:t>
            </w:r>
          </w:p>
        </w:tc>
        <w:tc>
          <w:tcPr/>
          <w:p>
            <w:pPr>
              <w:pStyle w:val="Compact"/>
            </w:pPr>
            <w:r>
              <w:t xml:space="preserve">The community’s obligation;</w:t>
            </w:r>
            <w:r>
              <w:t xml:space="preserve"> </w:t>
            </w:r>
            <w:r>
              <w:t xml:space="preserve">“the sons of Israel”</w:t>
            </w:r>
            <w:r>
              <w:t xml:space="preserve"> </w:t>
            </w:r>
            <w:r>
              <w:t xml:space="preserve">— this is not only a priestly responsibility but a covenantal one</w:t>
            </w:r>
          </w:p>
        </w:tc>
      </w:tr>
      <w:tr>
        <w:tc>
          <w:tcPr/>
          <w:p>
            <w:pPr>
              <w:pStyle w:val="Compact"/>
            </w:pPr>
            <w:r>
              <w:t xml:space="preserve">27:21</w:t>
            </w:r>
          </w:p>
        </w:tc>
        <w:tc>
          <w:tcPr/>
          <w:p>
            <w:pPr>
              <w:pStyle w:val="Compact"/>
            </w:pPr>
            <w:r>
              <w:t xml:space="preserve">Aaron and his sons to tend the lamp from evening to morning before the LORD — a perpetual statute throughout their generations</w:t>
            </w:r>
          </w:p>
        </w:tc>
        <w:tc>
          <w:tcPr/>
          <w:p>
            <w:pPr>
              <w:pStyle w:val="Compact"/>
            </w:pPr>
            <w:r>
              <w:t xml:space="preserve">Priestly maintenance; the lamp’s perpetuity is covenant-binding;</w:t>
            </w:r>
            <w:r>
              <w:t xml:space="preserve"> </w:t>
            </w:r>
            <w:r>
              <w:t xml:space="preserve">“before the LORD”</w:t>
            </w:r>
            <w:r>
              <w:t xml:space="preserve"> </w:t>
            </w:r>
            <w:r>
              <w:t xml:space="preserve">establishes its theological location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27:1–8</w:t>
            </w:r>
          </w:p>
        </w:tc>
        <w:tc>
          <w:tcPr/>
          <w:p>
            <w:pPr>
              <w:pStyle w:val="Compact"/>
            </w:pPr>
            <w:r>
              <w:t xml:space="preserve">The Bronze Altar — Blood at the Threshold</w:t>
            </w:r>
          </w:p>
        </w:tc>
      </w:tr>
      <w:tr>
        <w:tc>
          <w:tcPr/>
          <w:p>
            <w:pPr>
              <w:pStyle w:val="Compact"/>
            </w:pPr>
            <w:r>
              <w:t xml:space="preserve">2</w:t>
            </w:r>
          </w:p>
        </w:tc>
        <w:tc>
          <w:tcPr/>
          <w:p>
            <w:pPr>
              <w:pStyle w:val="Compact"/>
            </w:pPr>
            <w:r>
              <w:t xml:space="preserve">27:9–19</w:t>
            </w:r>
          </w:p>
        </w:tc>
        <w:tc>
          <w:tcPr/>
          <w:p>
            <w:pPr>
              <w:pStyle w:val="Compact"/>
            </w:pPr>
            <w:r>
              <w:t xml:space="preserve">The Courtyard — Bounded Holy Space</w:t>
            </w:r>
          </w:p>
        </w:tc>
      </w:tr>
      <w:tr>
        <w:tc>
          <w:tcPr/>
          <w:p>
            <w:pPr>
              <w:pStyle w:val="Compact"/>
            </w:pPr>
            <w:r>
              <w:t xml:space="preserve">3</w:t>
            </w:r>
          </w:p>
        </w:tc>
        <w:tc>
          <w:tcPr/>
          <w:p>
            <w:pPr>
              <w:pStyle w:val="Compact"/>
            </w:pPr>
            <w:r>
              <w:t xml:space="preserve">27:20–21</w:t>
            </w:r>
          </w:p>
        </w:tc>
        <w:tc>
          <w:tcPr/>
          <w:p>
            <w:pPr>
              <w:pStyle w:val="Compact"/>
            </w:pPr>
            <w:r>
              <w:t xml:space="preserve">The Perpetual Lamp — Covenant Light That Must Not Go Out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orders Israel’s approach to Him — through sacrifice, bounded space, and perpetual light.</w:t>
      </w:r>
    </w:p>
    <w:p>
      <w:pPr>
        <w:pStyle w:val="BodyText"/>
      </w:pPr>
      <w:r>
        <w:rPr>
          <w:b/>
          <w:bCs/>
        </w:rPr>
        <w:t xml:space="preserve">Primary Claim:</w:t>
      </w:r>
      <w:r>
        <w:t xml:space="preserve"> </w:t>
      </w:r>
      <w:r>
        <w:t xml:space="preserve">God is teaching His people that covenant access to His presence is real but not casual — it is defined by blood at the threshold, bounded by holy separation, and sustained by perpetual, never-ceasing devotion.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approach to God has never been self-designed — and still isn’t.</w:t>
      </w:r>
      <w:r>
        <w:t xml:space="preserve"> </w:t>
      </w:r>
      <w:r>
        <w:rPr>
          <w:i/>
          <w:iCs/>
        </w:rPr>
        <w:t xml:space="preserve">(Mind/Belief)</w:t>
      </w:r>
      <w:r>
        <w:t xml:space="preserve"> </w:t>
      </w:r>
      <w:r>
        <w:t xml:space="preserve">Every dimension of Exodus 27 was given, not invented. Israel did not decide what the altar would look like, how large the court would be, or what the lamp would burn. God specified every detail, down to the tent pegs. The same God who refused to allow Israel to improvise their approach to Him has not surrendered that prerogative in Christ. The gospel is not a menu from which we select the terms we find acceptable — it is the way God has provided, on His own terms, through His own appointed sacrifice. The reader who chafes at the exclusivity of Christ has not understood Exodus 27.</w:t>
      </w:r>
    </w:p>
    <w:p>
      <w:pPr>
        <w:pStyle w:val="BodyText"/>
      </w:pPr>
      <w:r>
        <w:rPr>
          <w:b/>
          <w:bCs/>
        </w:rPr>
        <w:t xml:space="preserve">2. Let the bronze altar’s permanence at the entrance recalibrate your understanding of what it cost for you to stand before God.</w:t>
      </w:r>
      <w:r>
        <w:t xml:space="preserve"> </w:t>
      </w:r>
      <w:r>
        <w:rPr>
          <w:i/>
          <w:iCs/>
        </w:rPr>
        <w:t xml:space="preserve">(Affections/Worship)</w:t>
      </w:r>
      <w:r>
        <w:t xml:space="preserve"> </w:t>
      </w:r>
      <w:r>
        <w:t xml:space="preserve">The first thing Israel encountered when approaching the tabernacle was the altar — massive, covered in the blood and ash of thousands of offerings, impossible to walk past without confronting. There was no side entrance, no quiet access that avoided the place of sacrifice. For the believer, the first thing that must shape every act of approach to God is the cross. Not as a theological footnote but as the unavoidable threshold: this access cost everything. Approach God with the weight of that reality — not with the breezy familiarity of those who have forgotten what it took.</w:t>
      </w:r>
    </w:p>
    <w:p>
      <w:pPr>
        <w:pStyle w:val="BodyText"/>
      </w:pPr>
      <w:r>
        <w:rPr>
          <w:b/>
          <w:bCs/>
        </w:rPr>
        <w:t xml:space="preserve">3. Examine whether your devotional life has the quality of a perpetual lamp or a series of occasional fires.</w:t>
      </w:r>
      <w:r>
        <w:t xml:space="preserve"> </w:t>
      </w:r>
      <w:r>
        <w:rPr>
          <w:i/>
          <w:iCs/>
        </w:rPr>
        <w:t xml:space="preserve">(Will/Behavior)</w:t>
      </w:r>
      <w:r>
        <w:t xml:space="preserve"> </w:t>
      </w:r>
      <w:r>
        <w:t xml:space="preserve">The lamp of Exodus 27:20–21 was not to burn brightly only on feast days or when the people felt spiritually motivated. It was to burn continually — tended every evening and morning, supplied with the finest oil, maintained by appointed people as a covenant obligation. The question this text puts to every believer is not whether you have ever had a bright devotional experience, but whether the light before the LORD in your life has the character of perpetual, disciplined, unglamorous faithfulness. Is the oil being brought? Is someone tending it?</w:t>
      </w:r>
    </w:p>
    <w:p>
      <w:pPr>
        <w:pStyle w:val="BodyText"/>
      </w:pPr>
      <w:r>
        <w:rPr>
          <w:b/>
          <w:bCs/>
        </w:rPr>
        <w:t xml:space="preserve">4. Repent of treating God’s holiness as a background detail rather than the governing reality of your life.</w:t>
      </w:r>
      <w:r>
        <w:t xml:space="preserve"> </w:t>
      </w:r>
      <w:r>
        <w:rPr>
          <w:i/>
          <w:iCs/>
        </w:rPr>
        <w:t xml:space="preserve">(Affections/Worship)</w:t>
      </w:r>
      <w:r>
        <w:t xml:space="preserve"> </w:t>
      </w:r>
      <w:r>
        <w:t xml:space="preserve">The courtyard of Exodus 27 is not primarily a practical structure — it is a theological statement. The holy space is bounded. It is not open to traffic from every direction. Access is channeled, the entrance is defined, and the entire perimeter announces: what is inside is not the same as what is outside. The reader who has grown comfortable treating God casually — approaching Him on the fly, without preparation, without reverence — has lost something the architecture of Israel’s worship was designed to protect. Holy space existed because a holy God dwells there. He has not become less holy.</w:t>
      </w:r>
    </w:p>
    <w:p>
      <w:pPr>
        <w:pStyle w:val="BodyText"/>
      </w:pPr>
      <w:r>
        <w:rPr>
          <w:b/>
          <w:bCs/>
        </w:rPr>
        <w:t xml:space="preserve">5. Trust that God’s specific provision for access — not your own spiritual ingenuity — is what makes nearness to Him possible.</w:t>
      </w:r>
      <w:r>
        <w:t xml:space="preserve"> </w:t>
      </w:r>
      <w:r>
        <w:rPr>
          <w:i/>
          <w:iCs/>
        </w:rPr>
        <w:t xml:space="preserve">(Mind/Belief)</w:t>
      </w:r>
      <w:r>
        <w:t xml:space="preserve"> </w:t>
      </w:r>
      <w:r>
        <w:t xml:space="preserve">Moses was not told to build whatever seemed appropriate for worship — he was shown the pattern on the mountain and commanded to build accordingly. The precision of the instructions is itself a mercy: Israel did not need to wonder whether they had gotten the approach to God right. God told them. In the same way, the gospel is not a human approximation of what approach to God might require — it is God’s own provision, announced from heaven, sealed in the blood of His Son. Stop trying to approach God through your own spiritual constructions. The altar has been provided. The way has been opened. Use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27 teaches that God is holy in a way that makes approach to Him structurally impossible apart from divinely appointed provision. The bronze altar at the entrance is not merely a practical feature of Israel’s worship — it is a theological declaration: no one reaches the presence of God without first passing the place of sacrifice. The bounded courtyard declares that God’s holy space is categorically distinct from human space — it is ordered, defined, and entered only on God’s terms. The perpetual lamp teaches that sustained covenant life before God requires ongoing, ordered devotion that does not depend on spiritual feeling but on faithful, priestly maintenance. Taken together, these three elements teach that God is approachable — He has provided the way — but that His approachability is entirely on His terms, at His cost, and by His design.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27 is a sustained lesson in grace and order — two keynotes of Reformed theology. The altar’s placement first in the sequence, and first in Israel’s physical approach, embeds at the heart of Israel’s worship the truth that justification — right standing before God — precedes and grounds everything else. You do not enter the court and then find the altar; you cannot approach anything until you have passed through blood. This is the spatial theology of justification by faith alone: the ground of access is outside of you, at the threshold, before you have done anything. The perpetual lamp, sustained not by miraculous provision but by the ongoing covenant faithfulness of priest and people, models the Reformed understanding of sanctification: ongoing, ordinary, disciplined, and sustained by the means God has appointed. The entire chapter is a physical catechism in the</w:t>
      </w:r>
      <w:r>
        <w:t xml:space="preserve"> </w:t>
      </w:r>
      <w:r>
        <w:rPr>
          <w:i/>
          <w:iCs/>
        </w:rPr>
        <w:t xml:space="preserve">ordo salutis</w:t>
      </w:r>
      <w:r>
        <w:t xml:space="preserve"> </w:t>
      </w:r>
      <w:r>
        <w:t xml:space="preserve">— justification at the threshold, separation unto holiness in the court, and persevering light as the mark of covenant life.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approach God casually, on your own terms, by your own design — and you never could. The altar stood at the entrance because blood was the only path through. The court was bounded because holiness is not a vague feeling but a structured reality. The lamp burned perpetually because covenant life before God is not occasional inspiration but sustained, ordered faithfulness. In Christ, the altar’s work is finished — but the logic has not changed: you come to God through the sacrifice He provided, within the life He has ordered, sustained by the devotion He has called you to maintain. Stop improvising. Stop treating access to God as something casual. The way is open — but it is His way, not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Exodus 27 as administrative minutiae with no contemporary relevance.</w:t>
      </w:r>
      <w:r>
        <w:t xml:space="preserve"> </w:t>
      </w:r>
      <w:r>
        <w:t xml:space="preserve">The most common failure with chapters like this is the assumption that architectural specification is spiritually inert — interesting perhaps for historians, but not carrying a claim for the people of God today. This is wrong in both directions: it underreads the text’s own theological intentionality, and it abandons the congregation to the false impression that God’s word only speaks where it uses obviously devotional language. Exodus 27 is as much a sermon as Psalm 23 — the sermon just comes through sockets and cubits rather than green pastures.</w:t>
      </w:r>
    </w:p>
    <w:p>
      <w:pPr>
        <w:numPr>
          <w:ilvl w:val="0"/>
          <w:numId w:val="1002"/>
        </w:numPr>
      </w:pPr>
      <w:r>
        <w:rPr>
          <w:b/>
          <w:bCs/>
        </w:rPr>
        <w:t xml:space="preserve">Pressing the typology too mechanically — finding Christ in every measurement.</w:t>
      </w:r>
      <w:r>
        <w:t xml:space="preserve"> </w:t>
      </w:r>
      <w:r>
        <w:t xml:space="preserve">The bronze altar is genuinely typological of the cross; the lamp is genuinely fulfilled in Christ as the light of the world; these connections are canonical, not imported. But the preacher who attempts to decode every cubit and material as a specific correspondence to a feature of the atonement has moved from typology to allegory, and the congregation will sense the arbitrariness. Let the canonical connections (Hebrews 9–10, John 8:12, Revelation 21) do their own work. The type points forward; it does not map exhaustively.</w:t>
      </w:r>
    </w:p>
    <w:p>
      <w:pPr>
        <w:numPr>
          <w:ilvl w:val="0"/>
          <w:numId w:val="1002"/>
        </w:numPr>
      </w:pPr>
      <w:r>
        <w:rPr>
          <w:b/>
          <w:bCs/>
        </w:rPr>
        <w:t xml:space="preserve">Preaching the perpetual lamp as a call to emotional or experiential intensity.</w:t>
      </w:r>
      <w:r>
        <w:t xml:space="preserve"> </w:t>
      </w:r>
      <w:r>
        <w:t xml:space="preserve">Verses 20–21 describe a covenant obligation of priestly maintenance — regular, ordered, unglamorous tending of the light using a specified material at a specified time. The application is to the discipline of sustained devotion, not to the pursuit of perpetual spiritual feeling. Preaching this as</w:t>
      </w:r>
      <w:r>
        <w:t xml:space="preserve"> </w:t>
      </w:r>
      <w:r>
        <w:t xml:space="preserve">“keep your fire burning”</w:t>
      </w:r>
      <w:r>
        <w:t xml:space="preserve"> </w:t>
      </w:r>
      <w:r>
        <w:t xml:space="preserve">in an emotional sense misreads the text and sets the congregation up for a performance-based spirituality rather than the faithful, covenant-shaped obedience the text actually calls for.</w:t>
      </w:r>
    </w:p>
    <w:p>
      <w:pPr>
        <w:numPr>
          <w:ilvl w:val="0"/>
          <w:numId w:val="1002"/>
        </w:numPr>
      </w:pPr>
      <w:r>
        <w:rPr>
          <w:b/>
          <w:bCs/>
        </w:rPr>
        <w:t xml:space="preserve">Failing to show the architectural movement — altar to court to lamp — as theological progression.</w:t>
      </w:r>
      <w:r>
        <w:t xml:space="preserve"> </w:t>
      </w:r>
      <w:r>
        <w:t xml:space="preserve">The three sections of Exodus 27 are not three unrelated items of furniture. They move from the outermost (the altar, the threshold of approach) inward and upward (the court, the bounded holy space) to the most sustained feature (the perpetual lamp, the ongoing light before God). A sermon that treats them as three separate topics will miss the cumulative theological claim: here is what it looks like, architecturally and covenantally, to dwell in the presence of a holy God.</w:t>
      </w:r>
    </w:p>
    <w:p>
      <w:pPr>
        <w:numPr>
          <w:ilvl w:val="0"/>
          <w:numId w:val="1002"/>
        </w:numPr>
      </w:pPr>
      <w:r>
        <w:rPr>
          <w:b/>
          <w:bCs/>
        </w:rPr>
        <w:t xml:space="preserve">Skipping the communal dimension of verse 20.</w:t>
      </w:r>
      <w:r>
        <w:t xml:space="preserve"> </w:t>
      </w:r>
      <w:r>
        <w:t xml:space="preserve">The command to bring pure olive oil is addressed to the sons of Israel — the whole community — before the priestly maintenance responsibility (v. 21) falls to Aaron and his sons. The people supply; the priests tend. This is not incidental. It embeds covenant fidelity as a community responsibility, not merely a clerical one. A sermon that moves too quickly to Aaron’s priestly role will miss the model of whole-community participation in sustaining the light before the LORD — a model with obvious applicational weight for the life of the local church.</w:t>
      </w:r>
    </w:p>
    <w:p>
      <w:pPr>
        <w:numPr>
          <w:ilvl w:val="0"/>
          <w:numId w:val="1002"/>
        </w:numPr>
      </w:pPr>
      <w:r>
        <w:rPr>
          <w:b/>
          <w:bCs/>
        </w:rPr>
        <w:t xml:space="preserve">Preaching the holy-space theology of the courtyard without showing its fulfillment and transformation in Christ.</w:t>
      </w:r>
      <w:r>
        <w:t xml:space="preserve"> </w:t>
      </w:r>
      <w:r>
        <w:t xml:space="preserve">The bounded court announces God’s holiness and the structured nature of access. But Hebrews 10:19–22 and the tearing of the veil (Matthew 27:51) announce that the architecture has been transformed — not abolished but fulfilled. A sermon that only presents the court’s bounding function without showing how Christ has opened that bounded space to direct access through His blood will leave the congregation with a theology of distance rather than the theology of bold access that the New Testament draws from the same architectural theology.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2026-07-14T21:01:29Z</dcterms:created>
  <dcterms:modified xsi:type="dcterms:W3CDTF">2026-07-14T21:01:29Z</dcterms:modified>
</cp:coreProperties>
</file>

<file path=docProps/custom.xml><?xml version="1.0" encoding="utf-8"?>
<Properties xmlns="http://schemas.openxmlformats.org/officeDocument/2006/custom-properties" xmlns:vt="http://schemas.openxmlformats.org/officeDocument/2006/docPropsVTypes"/>
</file>